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7D79C2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7D79C2">
        <w:rPr>
          <w:rFonts w:ascii="Times New Roman" w:hAnsi="Times New Roman" w:cs="Times New Roman"/>
          <w:color w:val="00000A"/>
          <w:sz w:val="24"/>
          <w:szCs w:val="24"/>
        </w:rPr>
        <w:t xml:space="preserve">inż. Tomasza </w:t>
      </w:r>
      <w:proofErr w:type="spellStart"/>
      <w:r w:rsidR="007D79C2">
        <w:rPr>
          <w:rFonts w:ascii="Times New Roman" w:hAnsi="Times New Roman" w:cs="Times New Roman"/>
          <w:color w:val="00000A"/>
          <w:sz w:val="24"/>
          <w:szCs w:val="24"/>
        </w:rPr>
        <w:t>Okruszko</w:t>
      </w:r>
      <w:proofErr w:type="spellEnd"/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2D2A73" w:rsidRPr="002D2A73">
            <w:rPr>
              <w:rFonts w:ascii="Times New Roman" w:eastAsia="Calibri" w:hAnsi="Times New Roman"/>
              <w:sz w:val="24"/>
              <w:szCs w:val="24"/>
            </w:rPr>
            <w:t>11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>Nauk Ekonomicznych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1E40BC">
            <w:rPr>
              <w:rFonts w:ascii="Times New Roman" w:eastAsia="Calibri" w:hAnsi="Times New Roman"/>
              <w:sz w:val="24"/>
              <w:szCs w:val="24"/>
            </w:rPr>
            <w:t>………………………………………………… …………….……………………………… …..……………..…………………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7D79C2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7D79C2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7D79C2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7D79C2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7D79C2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7D79C2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7D79C2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7D79C2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7D79C2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7D79C2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7D79C2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7D79C2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7D79C2" w:rsidRDefault="00E22436" w:rsidP="007D79C2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</w:t>
      </w:r>
      <w:r w:rsidR="007D79C2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7D79C2" w:rsidRPr="00C11968" w:rsidRDefault="007D79C2" w:rsidP="007D79C2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organizacji i realizacji szkoleń w formie zdalnej lub w form</w:t>
      </w:r>
      <w:r>
        <w:rPr>
          <w:rFonts w:ascii="Times New Roman" w:hAnsi="Times New Roman" w:cs="Times New Roman"/>
          <w:color w:val="00000A"/>
          <w:sz w:val="24"/>
          <w:szCs w:val="24"/>
        </w:rPr>
        <w:t>ie mieszanej (część szkolenia w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czelni wyższych o której mowa w art. 51a ustawy z dnia 28 lipca 2018 r. Prawo o szkolnictwie wyższym i nauce (Dz.U. 2018 poz. 1668 ze zm.),</w:t>
      </w:r>
    </w:p>
    <w:p w:rsidR="00E22436" w:rsidRPr="00D000DD" w:rsidRDefault="007D79C2" w:rsidP="007D79C2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wyboru do realizacji szkolenia w formie zdalnej elektronicznej platformy komunikacyjnej, umożliwiającej potwierdzenie lub zapisanie obecności uczestników, daty i godziny zajęć. W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przypadku realizacji szkolenia w formie zdalnej, materiały i opracowania d</w:t>
      </w:r>
      <w:r>
        <w:rPr>
          <w:rFonts w:ascii="Times New Roman" w:hAnsi="Times New Roman" w:cs="Times New Roman"/>
          <w:color w:val="00000A"/>
          <w:sz w:val="24"/>
          <w:szCs w:val="24"/>
        </w:rPr>
        <w:t>ydaktyczne są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udostępniane uczestnikom w formie elektronicznej.</w:t>
      </w:r>
    </w:p>
    <w:p w:rsidR="00E22436" w:rsidRPr="00D000DD" w:rsidRDefault="00E22436" w:rsidP="007D79C2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7D79C2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7D79C2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wstrzymania finansowania Projektu przez Instytucję Pośredniczącą, w tym również spowodowanego brakiem środków na realizację Projektu.</w:t>
      </w:r>
    </w:p>
    <w:p w:rsidR="00E22436" w:rsidRPr="00D000DD" w:rsidRDefault="00E22436" w:rsidP="007D79C2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7D79C2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7D79C2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7D79C2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7D79C2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7D79C2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7D79C2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7D79C2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na bieżąco informowania Uczelni o wszystkich zdarzeniach mogących zakłócić jego dalszy udział w Projekcie,</w:t>
      </w:r>
    </w:p>
    <w:p w:rsidR="00437AC7" w:rsidRPr="00D000DD" w:rsidRDefault="00437AC7" w:rsidP="007D79C2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7D79C2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7D79C2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7D79C2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7D79C2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7D79C2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7D79C2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7D79C2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82" w:rsidRDefault="001B6E82" w:rsidP="00385FE9">
      <w:r>
        <w:separator/>
      </w:r>
    </w:p>
  </w:endnote>
  <w:endnote w:type="continuationSeparator" w:id="0">
    <w:p w:rsidR="001B6E82" w:rsidRDefault="001B6E82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82" w:rsidRDefault="001B6E82" w:rsidP="00385FE9">
      <w:r>
        <w:separator/>
      </w:r>
    </w:p>
  </w:footnote>
  <w:footnote w:type="continuationSeparator" w:id="0">
    <w:p w:rsidR="001B6E82" w:rsidRDefault="001B6E82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B6E82"/>
    <w:rsid w:val="001E40BC"/>
    <w:rsid w:val="001E7E89"/>
    <w:rsid w:val="001F1A41"/>
    <w:rsid w:val="00210F92"/>
    <w:rsid w:val="00222E9D"/>
    <w:rsid w:val="00267CF8"/>
    <w:rsid w:val="00275242"/>
    <w:rsid w:val="00282AC7"/>
    <w:rsid w:val="0028523E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4516E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07257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5AC0"/>
    <w:rsid w:val="007D79C2"/>
    <w:rsid w:val="007E01AF"/>
    <w:rsid w:val="007E3823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845AE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5AD6F-166E-4755-941A-84BC5A9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Ludwik Wicki</dc:creator>
  <cp:lastModifiedBy>Ludwik Wicki</cp:lastModifiedBy>
  <cp:revision>2</cp:revision>
  <cp:lastPrinted>2018-07-25T17:00:00Z</cp:lastPrinted>
  <dcterms:created xsi:type="dcterms:W3CDTF">2020-10-29T18:09:00Z</dcterms:created>
  <dcterms:modified xsi:type="dcterms:W3CDTF">2020-10-29T18:09:00Z</dcterms:modified>
</cp:coreProperties>
</file>