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3FDBF94C"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w:t>
      </w:r>
      <w:r w:rsidR="002A3305">
        <w:rPr>
          <w:rFonts w:ascii="Times New Roman" w:eastAsia="Garamond" w:hAnsi="Times New Roman" w:cs="Times New Roman"/>
          <w:sz w:val="24"/>
          <w:szCs w:val="24"/>
          <w:lang w:val="pl-PL"/>
        </w:rPr>
        <w:t xml:space="preserve">ów prowadzonych przez Wydział </w:t>
      </w:r>
      <w:r w:rsidR="00F72547">
        <w:rPr>
          <w:rFonts w:ascii="Times New Roman" w:eastAsia="Garamond" w:hAnsi="Times New Roman" w:cs="Times New Roman"/>
          <w:sz w:val="24"/>
          <w:szCs w:val="24"/>
          <w:lang w:val="pl-PL"/>
        </w:rPr>
        <w:t>Leśny</w:t>
      </w:r>
      <w:r w:rsidR="002A3305">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 xml:space="preserve">realizowane w ramach </w:t>
      </w:r>
      <w:r w:rsidR="00F72547">
        <w:rPr>
          <w:rFonts w:ascii="Times New Roman" w:eastAsia="Garamond" w:hAnsi="Times New Roman" w:cs="Times New Roman"/>
          <w:sz w:val="24"/>
          <w:szCs w:val="24"/>
          <w:lang w:val="pl-PL"/>
        </w:rPr>
        <w:t>Z</w:t>
      </w:r>
      <w:r w:rsidR="00533BD4" w:rsidRPr="00533BD4">
        <w:rPr>
          <w:rFonts w:ascii="Times New Roman" w:eastAsia="Garamond" w:hAnsi="Times New Roman" w:cs="Times New Roman"/>
          <w:sz w:val="24"/>
          <w:szCs w:val="24"/>
          <w:lang w:val="pl-PL"/>
        </w:rPr>
        <w:t xml:space="preserve">adania </w:t>
      </w:r>
      <w:r w:rsidR="00F72547">
        <w:rPr>
          <w:rFonts w:ascii="Times New Roman" w:eastAsia="Garamond" w:hAnsi="Times New Roman" w:cs="Times New Roman"/>
          <w:sz w:val="24"/>
          <w:szCs w:val="24"/>
          <w:lang w:val="pl-PL"/>
        </w:rPr>
        <w:t>4</w:t>
      </w:r>
      <w:r w:rsidR="002A3305" w:rsidRPr="00533BD4">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4AA4E353"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7E46C2">
        <w:rPr>
          <w:rFonts w:ascii="Times New Roman" w:eastAsia="Garamond" w:hAnsi="Times New Roman" w:cs="Times New Roman"/>
          <w:sz w:val="24"/>
          <w:szCs w:val="24"/>
          <w:lang w:val="pl-PL"/>
        </w:rPr>
        <w:t xml:space="preserve">Leśnego </w:t>
      </w:r>
      <w:r>
        <w:rPr>
          <w:rFonts w:ascii="Times New Roman" w:eastAsia="Calibri" w:hAnsi="Times New Roman" w:cs="Times New Roman"/>
          <w:color w:val="000000"/>
          <w:sz w:val="24"/>
          <w:szCs w:val="24"/>
          <w:lang w:val="pl-PL"/>
        </w:rPr>
        <w:t>jest Szkoła Główna Gospodarstwa Wiejskiego w Warszawie.</w:t>
      </w:r>
    </w:p>
    <w:p w14:paraId="0B3FC8FB" w14:textId="77777777" w:rsidR="00D168B3" w:rsidRDefault="00D168B3">
      <w:pPr>
        <w:spacing w:before="19" w:after="0" w:line="220" w:lineRule="exact"/>
        <w:rPr>
          <w:lang w:val="pl-PL"/>
        </w:rPr>
      </w:pPr>
    </w:p>
    <w:p w14:paraId="290DFCDB" w14:textId="67D63BFF"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Celem działań jest podniesienie kompetencji studentów i studentek</w:t>
      </w:r>
      <w:r w:rsidR="00F72547">
        <w:rPr>
          <w:rFonts w:ascii="Times New Roman" w:eastAsia="Calibri" w:hAnsi="Times New Roman" w:cs="Times New Roman"/>
          <w:color w:val="000000"/>
          <w:sz w:val="24"/>
          <w:szCs w:val="24"/>
          <w:lang w:val="pl-PL"/>
        </w:rPr>
        <w:t xml:space="preserve"> Wydziału Leśnego</w:t>
      </w:r>
      <w:r w:rsidR="000977D3">
        <w:rPr>
          <w:rFonts w:ascii="Times New Roman" w:eastAsia="Calibri" w:hAnsi="Times New Roman" w:cs="Times New Roman"/>
          <w:color w:val="000000"/>
          <w:sz w:val="24"/>
          <w:szCs w:val="24"/>
          <w:lang w:val="pl-PL"/>
        </w:rPr>
        <w:t xml:space="preserve">, </w:t>
      </w:r>
      <w:r w:rsidR="004D4BD1" w:rsidRPr="004D4BD1">
        <w:rPr>
          <w:rFonts w:ascii="Times New Roman" w:eastAsia="Calibri" w:hAnsi="Times New Roman" w:cs="Times New Roman"/>
          <w:color w:val="000000"/>
          <w:sz w:val="24"/>
          <w:szCs w:val="24"/>
          <w:lang w:val="pl-PL"/>
        </w:rPr>
        <w:t>kierunk</w:t>
      </w:r>
      <w:r w:rsidR="00DA2984">
        <w:rPr>
          <w:rFonts w:ascii="Times New Roman" w:eastAsia="Calibri" w:hAnsi="Times New Roman" w:cs="Times New Roman"/>
          <w:color w:val="000000"/>
          <w:sz w:val="24"/>
          <w:szCs w:val="24"/>
          <w:lang w:val="pl-PL"/>
        </w:rPr>
        <w:t>ów</w:t>
      </w:r>
      <w:r w:rsidR="004D4BD1" w:rsidRPr="004D4BD1">
        <w:rPr>
          <w:rFonts w:ascii="Times New Roman" w:eastAsia="Calibri" w:hAnsi="Times New Roman" w:cs="Times New Roman"/>
          <w:color w:val="000000"/>
          <w:sz w:val="24"/>
          <w:szCs w:val="24"/>
          <w:lang w:val="pl-PL"/>
        </w:rPr>
        <w:t xml:space="preserve"> Leśnictwo</w:t>
      </w:r>
      <w:r w:rsidR="004D4BD1">
        <w:rPr>
          <w:rFonts w:ascii="Times New Roman" w:eastAsia="Calibri" w:hAnsi="Times New Roman" w:cs="Times New Roman"/>
          <w:color w:val="000000"/>
          <w:sz w:val="24"/>
          <w:szCs w:val="24"/>
          <w:lang w:val="pl-PL"/>
        </w:rPr>
        <w:t xml:space="preserve">  i Gospodarka Przestrzenna </w:t>
      </w:r>
      <w:r>
        <w:rPr>
          <w:rFonts w:ascii="Times New Roman" w:eastAsia="Calibri" w:hAnsi="Times New Roman" w:cs="Times New Roman"/>
          <w:color w:val="000000"/>
          <w:sz w:val="24"/>
          <w:szCs w:val="24"/>
          <w:lang w:val="pl-PL"/>
        </w:rPr>
        <w:t xml:space="preserve">w terminie do </w:t>
      </w:r>
      <w:r w:rsidR="00250501">
        <w:rPr>
          <w:rFonts w:ascii="Times New Roman" w:eastAsia="Calibri" w:hAnsi="Times New Roman" w:cs="Times New Roman"/>
          <w:color w:val="000000"/>
          <w:sz w:val="24"/>
          <w:szCs w:val="24"/>
          <w:lang w:val="pl-PL"/>
        </w:rPr>
        <w:t>30 czerwiec 2023</w:t>
      </w:r>
      <w:r>
        <w:rPr>
          <w:rFonts w:ascii="Times New Roman" w:eastAsia="Calibri" w:hAnsi="Times New Roman" w:cs="Times New Roman"/>
          <w:color w:val="000000"/>
          <w:sz w:val="24"/>
          <w:szCs w:val="24"/>
          <w:lang w:val="pl-PL"/>
        </w:rPr>
        <w:t xml:space="preserve"> r. Cel zostanie osiągnięty poprzez realizację następujących </w:t>
      </w:r>
      <w:r w:rsidR="0001386F">
        <w:rPr>
          <w:rFonts w:ascii="Times New Roman" w:eastAsia="Calibri" w:hAnsi="Times New Roman" w:cs="Times New Roman"/>
          <w:color w:val="000000"/>
          <w:sz w:val="24"/>
          <w:szCs w:val="24"/>
          <w:lang w:val="pl-PL"/>
        </w:rPr>
        <w:t>szkoleń</w:t>
      </w:r>
      <w:r>
        <w:rPr>
          <w:rFonts w:ascii="Times New Roman" w:eastAsia="Calibri" w:hAnsi="Times New Roman" w:cs="Times New Roman"/>
          <w:color w:val="000000"/>
          <w:sz w:val="24"/>
          <w:szCs w:val="24"/>
          <w:lang w:val="pl-PL"/>
        </w:rPr>
        <w:t>:</w:t>
      </w:r>
    </w:p>
    <w:p w14:paraId="78976C55" w14:textId="6EF56C1C" w:rsidR="001A48B2" w:rsidRPr="00250501" w:rsidRDefault="00F72547"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250501">
        <w:rPr>
          <w:rFonts w:ascii="Times New Roman" w:eastAsia="Garamond" w:hAnsi="Times New Roman" w:cs="Times New Roman"/>
          <w:spacing w:val="-1"/>
          <w:sz w:val="24"/>
          <w:szCs w:val="24"/>
          <w:lang w:val="pl-PL"/>
        </w:rPr>
        <w:t xml:space="preserve">Certyfikowane szkolenie z zakresu zaawansowanej obsługi oprogramowania </w:t>
      </w:r>
      <w:proofErr w:type="spellStart"/>
      <w:r w:rsidRPr="00250501">
        <w:rPr>
          <w:rFonts w:ascii="Times New Roman" w:eastAsia="Garamond" w:hAnsi="Times New Roman" w:cs="Times New Roman"/>
          <w:spacing w:val="-1"/>
          <w:sz w:val="24"/>
          <w:szCs w:val="24"/>
          <w:lang w:val="pl-PL"/>
        </w:rPr>
        <w:t>ArcGIS</w:t>
      </w:r>
      <w:proofErr w:type="spellEnd"/>
    </w:p>
    <w:p w14:paraId="4A57AD57" w14:textId="78BA8E84" w:rsidR="00F72547" w:rsidRPr="00C967FD" w:rsidRDefault="00F72547" w:rsidP="00F72547">
      <w:pPr>
        <w:pStyle w:val="Akapitzlist"/>
        <w:numPr>
          <w:ilvl w:val="0"/>
          <w:numId w:val="10"/>
        </w:numPr>
        <w:rPr>
          <w:rFonts w:ascii="Times New Roman" w:eastAsia="Garamond" w:hAnsi="Times New Roman" w:cs="Times New Roman"/>
          <w:color w:val="000000" w:themeColor="text1"/>
          <w:spacing w:val="-1"/>
          <w:sz w:val="24"/>
          <w:szCs w:val="24"/>
          <w:lang w:val="pl-PL"/>
        </w:rPr>
      </w:pPr>
      <w:r w:rsidRPr="00250501">
        <w:rPr>
          <w:rFonts w:ascii="Times New Roman" w:eastAsia="Garamond" w:hAnsi="Times New Roman" w:cs="Times New Roman"/>
          <w:spacing w:val="-1"/>
          <w:sz w:val="24"/>
          <w:szCs w:val="24"/>
          <w:lang w:val="pl-PL"/>
        </w:rPr>
        <w:t xml:space="preserve">Certyfikowane szkolenie z zakresu średniozaawansowanej obsługi oprogramowania </w:t>
      </w:r>
      <w:r w:rsidRPr="00C967FD">
        <w:rPr>
          <w:rFonts w:ascii="Times New Roman" w:eastAsia="Garamond" w:hAnsi="Times New Roman" w:cs="Times New Roman"/>
          <w:color w:val="000000" w:themeColor="text1"/>
          <w:spacing w:val="-1"/>
          <w:sz w:val="24"/>
          <w:szCs w:val="24"/>
          <w:lang w:val="pl-PL"/>
        </w:rPr>
        <w:t>QGIS</w:t>
      </w:r>
    </w:p>
    <w:p w14:paraId="19DE970C" w14:textId="77777777" w:rsidR="008269F7" w:rsidRPr="00C967FD" w:rsidRDefault="00F72547" w:rsidP="00A23FCF">
      <w:pPr>
        <w:pStyle w:val="Akapitzlist"/>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Nowoczesne przyrządy pomiarowe</w:t>
      </w:r>
    </w:p>
    <w:p w14:paraId="0B1034EF" w14:textId="49F2A5ED" w:rsidR="008269F7" w:rsidRPr="00C967FD" w:rsidRDefault="008269F7" w:rsidP="008269F7">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System sprzedaży drewna</w:t>
      </w:r>
    </w:p>
    <w:p w14:paraId="7CD45168" w14:textId="3C043E89" w:rsidR="008269F7" w:rsidRPr="00C967FD" w:rsidRDefault="008269F7" w:rsidP="008269F7">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Business Object w planowaniu ekonomicznym</w:t>
      </w:r>
    </w:p>
    <w:p w14:paraId="09DFF1BA" w14:textId="46E9A00C" w:rsidR="008269F7" w:rsidRPr="00C967FD" w:rsidRDefault="008269F7" w:rsidP="008269F7">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Raporty oddziaływania na środowisko</w:t>
      </w:r>
    </w:p>
    <w:p w14:paraId="0BADBD5C" w14:textId="2B91AE52" w:rsidR="008269F7" w:rsidRPr="00C967FD" w:rsidRDefault="008269F7" w:rsidP="008269F7">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Komunikacja społeczna i edukacja przyrodnicza</w:t>
      </w:r>
    </w:p>
    <w:p w14:paraId="58C54DB4" w14:textId="09834024" w:rsidR="001A48B2" w:rsidRPr="00C967FD" w:rsidRDefault="008269F7" w:rsidP="001A48B2">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Zakładanie i prowadzenie firmy</w:t>
      </w:r>
    </w:p>
    <w:p w14:paraId="0B40564F" w14:textId="2EEB001D" w:rsidR="00250501" w:rsidRPr="00C967FD" w:rsidRDefault="00250501" w:rsidP="001A48B2">
      <w:pPr>
        <w:pStyle w:val="Akapitzlist1"/>
        <w:numPr>
          <w:ilvl w:val="0"/>
          <w:numId w:val="10"/>
        </w:numPr>
        <w:spacing w:after="0" w:line="300" w:lineRule="auto"/>
        <w:rPr>
          <w:rFonts w:ascii="Times New Roman" w:eastAsia="Garamond" w:hAnsi="Times New Roman" w:cs="Times New Roman"/>
          <w:color w:val="000000" w:themeColor="text1"/>
          <w:spacing w:val="-1"/>
          <w:sz w:val="24"/>
          <w:szCs w:val="24"/>
          <w:lang w:val="pl-PL"/>
        </w:rPr>
      </w:pPr>
      <w:r w:rsidRPr="00C967FD">
        <w:rPr>
          <w:rFonts w:ascii="Times New Roman" w:eastAsia="Garamond" w:hAnsi="Times New Roman" w:cs="Times New Roman"/>
          <w:color w:val="000000" w:themeColor="text1"/>
          <w:spacing w:val="-1"/>
          <w:sz w:val="24"/>
          <w:szCs w:val="24"/>
          <w:lang w:val="pl-PL"/>
        </w:rPr>
        <w:t>Projektowanie inżynieryjne</w:t>
      </w:r>
    </w:p>
    <w:p w14:paraId="4B3638AE" w14:textId="77777777" w:rsidR="00250501" w:rsidRPr="00250501" w:rsidRDefault="00250501" w:rsidP="00250501">
      <w:pPr>
        <w:pStyle w:val="Akapitzlist1"/>
        <w:spacing w:after="0" w:line="300" w:lineRule="auto"/>
        <w:rPr>
          <w:rFonts w:ascii="Times New Roman" w:eastAsia="Garamond" w:hAnsi="Times New Roman" w:cs="Times New Roman"/>
          <w:spacing w:val="-1"/>
          <w:sz w:val="24"/>
          <w:szCs w:val="24"/>
          <w:lang w:val="pl-PL"/>
        </w:rPr>
      </w:pPr>
    </w:p>
    <w:p w14:paraId="0A3BDA3D" w14:textId="1F867256" w:rsidR="001A48B2" w:rsidRPr="00DA2984" w:rsidRDefault="001A48B2" w:rsidP="00DA2984">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CC5808F" w14:textId="3FA1BCC7" w:rsidR="00D168B3" w:rsidRPr="00564B7E" w:rsidRDefault="00D168B3">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 </w:t>
      </w:r>
      <w:r w:rsidR="00901386">
        <w:rPr>
          <w:rFonts w:ascii="Times New Roman" w:eastAsia="Calibri" w:hAnsi="Times New Roman" w:cs="Times New Roman"/>
          <w:color w:val="000000"/>
          <w:sz w:val="24"/>
          <w:szCs w:val="24"/>
          <w:lang w:val="pl-PL"/>
        </w:rPr>
        <w:t xml:space="preserve">Wydziału Leśnego </w:t>
      </w:r>
      <w:r w:rsidRPr="00564B7E">
        <w:rPr>
          <w:rFonts w:ascii="Times New Roman" w:eastAsia="Calibri" w:hAnsi="Times New Roman" w:cs="Times New Roman"/>
          <w:color w:val="000000"/>
          <w:sz w:val="24"/>
          <w:szCs w:val="24"/>
          <w:lang w:val="pl-PL"/>
        </w:rPr>
        <w:t xml:space="preserve">studiów stacjonarnych </w:t>
      </w:r>
      <w:r w:rsidR="00C15EA4">
        <w:rPr>
          <w:rFonts w:ascii="Times New Roman" w:eastAsia="Calibri" w:hAnsi="Times New Roman" w:cs="Times New Roman"/>
          <w:color w:val="000000"/>
          <w:sz w:val="24"/>
          <w:szCs w:val="24"/>
          <w:lang w:val="pl-PL"/>
        </w:rPr>
        <w:t xml:space="preserve"> i niestacjonarnych </w:t>
      </w:r>
      <w:r w:rsidRPr="00564B7E">
        <w:rPr>
          <w:rFonts w:ascii="Times New Roman" w:eastAsia="Calibri" w:hAnsi="Times New Roman" w:cs="Times New Roman"/>
          <w:color w:val="000000"/>
          <w:sz w:val="24"/>
          <w:szCs w:val="24"/>
          <w:lang w:val="pl-PL"/>
        </w:rPr>
        <w:t xml:space="preserve">pierwszego </w:t>
      </w:r>
      <w:r w:rsidR="00E420BF">
        <w:rPr>
          <w:rFonts w:ascii="Times New Roman" w:eastAsia="Calibri" w:hAnsi="Times New Roman" w:cs="Times New Roman"/>
          <w:color w:val="000000"/>
          <w:sz w:val="24"/>
          <w:szCs w:val="24"/>
          <w:lang w:val="pl-PL"/>
        </w:rPr>
        <w:t xml:space="preserve">i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EB782B">
        <w:rPr>
          <w:rFonts w:ascii="Times New Roman" w:eastAsia="Calibri" w:hAnsi="Times New Roman" w:cs="Times New Roman"/>
          <w:color w:val="000000"/>
          <w:sz w:val="24"/>
          <w:szCs w:val="24"/>
          <w:lang w:val="pl-PL"/>
        </w:rPr>
        <w:t xml:space="preserve"> </w:t>
      </w:r>
      <w:r w:rsidR="00DF760C" w:rsidRPr="00564B7E">
        <w:rPr>
          <w:rFonts w:ascii="Times New Roman" w:eastAsia="Calibri" w:hAnsi="Times New Roman" w:cs="Times New Roman"/>
          <w:color w:val="000000"/>
          <w:sz w:val="24"/>
          <w:szCs w:val="24"/>
          <w:lang w:val="pl-PL"/>
        </w:rPr>
        <w:t>kierunkach</w:t>
      </w:r>
      <w:r w:rsidR="00E420BF">
        <w:rPr>
          <w:rFonts w:ascii="Times New Roman" w:eastAsia="Calibri" w:hAnsi="Times New Roman" w:cs="Times New Roman"/>
          <w:color w:val="000000"/>
          <w:sz w:val="24"/>
          <w:szCs w:val="24"/>
          <w:lang w:val="pl-PL"/>
        </w:rPr>
        <w:t xml:space="preserve"> </w:t>
      </w:r>
      <w:r w:rsidR="00E420BF" w:rsidRPr="00E420BF">
        <w:rPr>
          <w:rFonts w:ascii="Times New Roman" w:eastAsia="Calibri" w:hAnsi="Times New Roman" w:cs="Times New Roman"/>
          <w:color w:val="000000"/>
          <w:sz w:val="24"/>
          <w:szCs w:val="24"/>
          <w:lang w:val="pl-PL"/>
        </w:rPr>
        <w:t>Leśnictwo i Gospodarka Przestrzenna</w:t>
      </w:r>
      <w:r w:rsidRPr="00564B7E">
        <w:rPr>
          <w:rFonts w:ascii="Times New Roman" w:eastAsia="Calibri" w:hAnsi="Times New Roman" w:cs="Times New Roman"/>
          <w:color w:val="000000"/>
          <w:sz w:val="24"/>
          <w:szCs w:val="24"/>
          <w:lang w:val="pl-PL"/>
        </w:rPr>
        <w:t>.</w:t>
      </w:r>
    </w:p>
    <w:p w14:paraId="4FE1C205" w14:textId="77777777" w:rsidR="00D168B3" w:rsidRPr="00564B7E"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03DD0824"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0BCC5F7E"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w:t>
      </w:r>
      <w:r w:rsidR="00DA2984" w:rsidRPr="00DA2984">
        <w:rPr>
          <w:rFonts w:ascii="Times New Roman" w:eastAsia="Calibri" w:hAnsi="Times New Roman" w:cs="Times New Roman"/>
          <w:color w:val="000000"/>
          <w:sz w:val="24"/>
          <w:szCs w:val="24"/>
          <w:lang w:val="pl-PL"/>
        </w:rPr>
        <w:t xml:space="preserve"> </w:t>
      </w:r>
      <w:r w:rsidR="00DA2984">
        <w:rPr>
          <w:rFonts w:ascii="Times New Roman" w:eastAsia="Calibri" w:hAnsi="Times New Roman" w:cs="Times New Roman"/>
          <w:color w:val="000000"/>
          <w:sz w:val="24"/>
          <w:szCs w:val="24"/>
          <w:lang w:val="pl-PL"/>
        </w:rPr>
        <w:t xml:space="preserve">stwierdzona w oparciu o orzeczenie o niepełnosprawności </w:t>
      </w:r>
      <w:proofErr w:type="spellStart"/>
      <w:r w:rsidR="00DA2984">
        <w:rPr>
          <w:rFonts w:ascii="Times New Roman" w:eastAsia="Calibri" w:hAnsi="Times New Roman" w:cs="Times New Roman"/>
          <w:color w:val="000000"/>
          <w:sz w:val="24"/>
          <w:szCs w:val="24"/>
          <w:lang w:val="pl-PL"/>
        </w:rPr>
        <w:t>tj</w:t>
      </w:r>
      <w:proofErr w:type="spellEnd"/>
      <w:r w:rsidR="00D168B3">
        <w:rPr>
          <w:rFonts w:ascii="Times New Roman" w:eastAsia="Calibri" w:hAnsi="Times New Roman" w:cs="Times New Roman"/>
          <w:color w:val="000000"/>
          <w:sz w:val="24"/>
          <w:szCs w:val="24"/>
          <w:lang w:val="pl-PL"/>
        </w:rPr>
        <w:t>: TAK – 2 pkt; NIE – 0 pkt</w:t>
      </w:r>
      <w:r w:rsidR="00993C02">
        <w:rPr>
          <w:rFonts w:ascii="Times New Roman" w:eastAsia="Calibri" w:hAnsi="Times New Roman" w:cs="Times New Roman"/>
          <w:color w:val="000000"/>
          <w:sz w:val="24"/>
          <w:szCs w:val="24"/>
          <w:lang w:val="pl-PL"/>
        </w:rPr>
        <w:t>,</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40688C0B"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05D1486F" w14:textId="6A230DD7" w:rsidR="001B4AB8"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umowa uczestnictwa w projekcie (załącznik 4),</w:t>
      </w:r>
    </w:p>
    <w:p w14:paraId="0CC26FE3" w14:textId="76DE2C65" w:rsidR="006E418C" w:rsidRPr="007E061A"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i</w:t>
      </w:r>
      <w:r w:rsidR="006E418C">
        <w:rPr>
          <w:rFonts w:ascii="Times New Roman" w:eastAsia="Garamond" w:hAnsi="Times New Roman" w:cs="Times New Roman"/>
          <w:spacing w:val="-1"/>
          <w:lang w:val="pl-PL"/>
        </w:rPr>
        <w:t>nformacja</w:t>
      </w:r>
      <w:r w:rsidR="00DA2984">
        <w:rPr>
          <w:rFonts w:ascii="Times New Roman" w:eastAsia="Garamond" w:hAnsi="Times New Roman" w:cs="Times New Roman"/>
          <w:spacing w:val="-1"/>
          <w:lang w:val="pl-PL"/>
        </w:rPr>
        <w:t xml:space="preserve"> o statu</w:t>
      </w:r>
      <w:r w:rsidR="00467274">
        <w:rPr>
          <w:rFonts w:ascii="Times New Roman" w:eastAsia="Garamond" w:hAnsi="Times New Roman" w:cs="Times New Roman"/>
          <w:spacing w:val="-1"/>
          <w:lang w:val="pl-PL"/>
        </w:rPr>
        <w:t>sie uczestnika</w:t>
      </w:r>
      <w:r w:rsidR="006E418C">
        <w:rPr>
          <w:rFonts w:ascii="Times New Roman" w:eastAsia="Garamond" w:hAnsi="Times New Roman" w:cs="Times New Roman"/>
          <w:spacing w:val="-1"/>
          <w:lang w:val="pl-PL"/>
        </w:rPr>
        <w:t xml:space="preserve"> po 4 tygodniach i 3 miesiącach (załącznik 5)</w:t>
      </w:r>
    </w:p>
    <w:p w14:paraId="6D9BA3DF" w14:textId="3DC94773" w:rsidR="001B4AB8"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 xml:space="preserve">informacja </w:t>
      </w:r>
      <w:r w:rsidR="00052967">
        <w:rPr>
          <w:rFonts w:ascii="Times New Roman" w:eastAsia="Garamond" w:hAnsi="Times New Roman" w:cs="Times New Roman"/>
          <w:spacing w:val="-1"/>
          <w:lang w:val="pl-PL"/>
        </w:rPr>
        <w:t xml:space="preserve">absolwenta po 6 miesiącach </w:t>
      </w:r>
      <w:r w:rsidR="0075091A">
        <w:rPr>
          <w:rFonts w:ascii="Times New Roman" w:eastAsia="Garamond" w:hAnsi="Times New Roman" w:cs="Times New Roman"/>
          <w:spacing w:val="-1"/>
          <w:lang w:val="pl-PL"/>
        </w:rPr>
        <w:t xml:space="preserve">(załącznik </w:t>
      </w:r>
      <w:r w:rsidR="006E418C">
        <w:rPr>
          <w:rFonts w:ascii="Times New Roman" w:eastAsia="Garamond" w:hAnsi="Times New Roman" w:cs="Times New Roman"/>
          <w:spacing w:val="-1"/>
          <w:lang w:val="pl-PL"/>
        </w:rPr>
        <w:t>6</w:t>
      </w:r>
      <w:r w:rsidR="007509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6CF80B09"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3. </w:t>
      </w:r>
      <w:r w:rsidR="00467274">
        <w:rPr>
          <w:rFonts w:ascii="Times New Roman" w:eastAsia="Calibri" w:hAnsi="Times New Roman" w:cs="Times New Roman"/>
          <w:color w:val="000000"/>
          <w:sz w:val="24"/>
          <w:szCs w:val="24"/>
          <w:lang w:val="pl-PL"/>
        </w:rPr>
        <w:t>W uzasadnionych przypadkach (pandemia) d</w:t>
      </w:r>
      <w:r>
        <w:rPr>
          <w:rFonts w:ascii="Times New Roman" w:eastAsia="Calibri" w:hAnsi="Times New Roman" w:cs="Times New Roman"/>
          <w:color w:val="000000"/>
          <w:sz w:val="24"/>
          <w:szCs w:val="24"/>
          <w:lang w:val="pl-PL"/>
        </w:rPr>
        <w:t>opuszcza się możliwość złożenia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6E1A323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 xml:space="preserve">Wydziału </w:t>
      </w:r>
      <w:r w:rsidR="00901386">
        <w:rPr>
          <w:rFonts w:ascii="Times New Roman" w:eastAsia="Garamond" w:hAnsi="Times New Roman" w:cs="Times New Roman"/>
          <w:sz w:val="24"/>
          <w:szCs w:val="24"/>
          <w:lang w:val="pl-PL"/>
        </w:rPr>
        <w:t>Leśnego.</w:t>
      </w:r>
    </w:p>
    <w:p w14:paraId="060CE44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596F585F"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ADC324A" w14:textId="105A03D6" w:rsidR="00467274" w:rsidRDefault="00467274" w:rsidP="00467274">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62A566B8" w14:textId="77777777" w:rsidR="00467274" w:rsidRDefault="00467274" w:rsidP="00467274">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14:paraId="6851ED39" w14:textId="69D7B879" w:rsidR="00467274" w:rsidRPr="00467274" w:rsidRDefault="00467274" w:rsidP="00467274">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14:paraId="33D5B8E5" w14:textId="77777777" w:rsidR="00467274" w:rsidRDefault="00467274" w:rsidP="00467274">
      <w:pPr>
        <w:keepNext/>
        <w:tabs>
          <w:tab w:val="left" w:pos="6882"/>
        </w:tabs>
        <w:spacing w:after="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r w:rsidRPr="00467274">
        <w:rPr>
          <w:rFonts w:ascii="Times New Roman" w:eastAsia="Times New Roman" w:hAnsi="Times New Roman" w:cs="Times New Roman"/>
          <w:b/>
          <w:bCs/>
          <w:color w:val="000000"/>
          <w:sz w:val="24"/>
          <w:szCs w:val="24"/>
          <w:lang w:val="pl-PL"/>
        </w:rPr>
        <w:t xml:space="preserve"> </w:t>
      </w:r>
    </w:p>
    <w:p w14:paraId="2922F698" w14:textId="77777777" w:rsidR="00467274" w:rsidRDefault="00467274" w:rsidP="00467274">
      <w:pPr>
        <w:keepNext/>
        <w:tabs>
          <w:tab w:val="left" w:pos="6882"/>
        </w:tabs>
        <w:spacing w:after="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5BE7B206" w14:textId="77777777" w:rsidR="00467274" w:rsidRDefault="00467274" w:rsidP="00467274">
      <w:pPr>
        <w:keepNext/>
        <w:tabs>
          <w:tab w:val="left" w:pos="6882"/>
        </w:tabs>
        <w:spacing w:after="0" w:line="100" w:lineRule="atLeast"/>
        <w:jc w:val="center"/>
        <w:rPr>
          <w:rFonts w:ascii="Times New Roman" w:eastAsia="Times New Roman" w:hAnsi="Times New Roman" w:cs="Times New Roman"/>
          <w:b/>
          <w:bCs/>
          <w:color w:val="000000"/>
          <w:sz w:val="24"/>
          <w:szCs w:val="24"/>
          <w:lang w:val="pl-PL"/>
        </w:rPr>
      </w:pPr>
    </w:p>
    <w:p w14:paraId="20798DB4" w14:textId="5F2220C6"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250501">
        <w:rPr>
          <w:rFonts w:ascii="Times New Roman" w:eastAsia="Calibri" w:hAnsi="Times New Roman" w:cs="Times New Roman"/>
          <w:color w:val="000000"/>
          <w:sz w:val="24"/>
          <w:szCs w:val="24"/>
          <w:lang w:val="pl-PL"/>
        </w:rPr>
        <w:t>z dniem podpisania</w:t>
      </w:r>
      <w:r w:rsidR="00D30743">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7B44A728" w14:textId="0538A9D3" w:rsidR="00D168B3" w:rsidRPr="00467274" w:rsidRDefault="00D168B3" w:rsidP="00467274">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6DAC6650" w14:textId="13CCFC56" w:rsidR="0081456C" w:rsidRDefault="0081456C">
      <w:pPr>
        <w:spacing w:before="19" w:after="0" w:line="100" w:lineRule="atLeast"/>
        <w:rPr>
          <w:rFonts w:ascii="Times New Roman" w:hAnsi="Times New Roman" w:cs="Times New Roman"/>
          <w:sz w:val="24"/>
          <w:szCs w:val="24"/>
          <w:lang w:val="pl-PL"/>
        </w:rPr>
      </w:pPr>
    </w:p>
    <w:p w14:paraId="39F924D1" w14:textId="26063AE5" w:rsidR="00467274" w:rsidRDefault="00467274">
      <w:pPr>
        <w:spacing w:before="19" w:after="0" w:line="100" w:lineRule="atLeast"/>
        <w:rPr>
          <w:rFonts w:ascii="Times New Roman" w:hAnsi="Times New Roman" w:cs="Times New Roman"/>
          <w:sz w:val="24"/>
          <w:szCs w:val="24"/>
          <w:lang w:val="pl-PL"/>
        </w:rPr>
      </w:pPr>
    </w:p>
    <w:p w14:paraId="580E3C48" w14:textId="77777777" w:rsidR="00467274" w:rsidRDefault="00467274">
      <w:pPr>
        <w:spacing w:before="19" w:after="0" w:line="100" w:lineRule="atLeast"/>
        <w:rPr>
          <w:rFonts w:ascii="Times New Roman" w:hAnsi="Times New Roman" w:cs="Times New Roman"/>
          <w:sz w:val="24"/>
          <w:szCs w:val="24"/>
          <w:lang w:val="pl-PL"/>
        </w:rPr>
      </w:pPr>
    </w:p>
    <w:p w14:paraId="2C3B3645" w14:textId="57442E2D"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formularz danych osobowych</w:t>
      </w:r>
      <w:r w:rsidR="008F3BB4" w:rsidRPr="0081456C">
        <w:rPr>
          <w:rFonts w:ascii="Times New Roman" w:hAnsi="Times New Roman" w:cs="Times New Roman"/>
          <w:sz w:val="24"/>
          <w:szCs w:val="24"/>
          <w:lang w:val="pl-PL"/>
        </w:rPr>
        <w:t xml:space="preserve"> (załącznik </w:t>
      </w:r>
      <w:r w:rsidR="00FC2F90" w:rsidRPr="0081456C">
        <w:rPr>
          <w:rFonts w:ascii="Times New Roman" w:hAnsi="Times New Roman" w:cs="Times New Roman"/>
          <w:sz w:val="24"/>
          <w:szCs w:val="24"/>
          <w:lang w:val="pl-PL"/>
        </w:rPr>
        <w:t>1</w:t>
      </w:r>
      <w:r w:rsidRPr="0081456C">
        <w:rPr>
          <w:rFonts w:ascii="Times New Roman" w:hAnsi="Times New Roman" w:cs="Times New Roman"/>
          <w:sz w:val="24"/>
          <w:szCs w:val="24"/>
          <w:lang w:val="pl-PL"/>
        </w:rPr>
        <w:t>),</w:t>
      </w:r>
    </w:p>
    <w:p w14:paraId="1F11AC37"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oświadczenie o zapoznaniu się i akceptacji postanowień regulaminu naboru (załącznik</w:t>
      </w:r>
      <w:r w:rsidR="008F3BB4"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2),</w:t>
      </w:r>
    </w:p>
    <w:p w14:paraId="04087541" w14:textId="7660FFA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oświadczenie uczestnika projektu </w:t>
      </w:r>
      <w:r w:rsidRPr="0081456C">
        <w:rPr>
          <w:rFonts w:ascii="Times New Roman" w:eastAsia="Calibri" w:hAnsi="Times New Roman" w:cs="Times New Roman"/>
          <w:color w:val="000000"/>
          <w:sz w:val="24"/>
          <w:szCs w:val="24"/>
          <w:lang w:val="pl-PL"/>
        </w:rPr>
        <w:t xml:space="preserve">o kwalifikowalności </w:t>
      </w:r>
      <w:r w:rsidR="00FC2F90" w:rsidRPr="0081456C">
        <w:rPr>
          <w:rFonts w:ascii="Times New Roman" w:hAnsi="Times New Roman" w:cs="Times New Roman"/>
          <w:sz w:val="24"/>
          <w:szCs w:val="24"/>
          <w:lang w:val="pl-PL"/>
        </w:rPr>
        <w:t>(załącznik</w:t>
      </w:r>
      <w:r w:rsidR="00C60D48"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3</w:t>
      </w:r>
      <w:r w:rsidRPr="0081456C">
        <w:rPr>
          <w:rFonts w:ascii="Times New Roman" w:hAnsi="Times New Roman" w:cs="Times New Roman"/>
          <w:sz w:val="24"/>
          <w:szCs w:val="24"/>
          <w:lang w:val="pl-PL"/>
        </w:rPr>
        <w:t>),</w:t>
      </w:r>
    </w:p>
    <w:p w14:paraId="5386E5BA" w14:textId="2C4D0F79"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umowa udz</w:t>
      </w:r>
      <w:r w:rsidR="008F3BB4" w:rsidRPr="0081456C">
        <w:rPr>
          <w:rFonts w:ascii="Times New Roman" w:hAnsi="Times New Roman" w:cs="Times New Roman"/>
          <w:sz w:val="24"/>
          <w:szCs w:val="24"/>
          <w:lang w:val="pl-PL"/>
        </w:rPr>
        <w:t xml:space="preserve">iału w projekcie (załącznik </w:t>
      </w:r>
      <w:r w:rsidR="00FC2F90" w:rsidRPr="0081456C">
        <w:rPr>
          <w:rFonts w:ascii="Times New Roman" w:hAnsi="Times New Roman" w:cs="Times New Roman"/>
          <w:sz w:val="24"/>
          <w:szCs w:val="24"/>
          <w:lang w:val="pl-PL"/>
        </w:rPr>
        <w:t>4</w:t>
      </w:r>
      <w:r w:rsidRPr="0081456C">
        <w:rPr>
          <w:rFonts w:ascii="Times New Roman" w:hAnsi="Times New Roman" w:cs="Times New Roman"/>
          <w:sz w:val="24"/>
          <w:szCs w:val="24"/>
          <w:lang w:val="pl-PL"/>
        </w:rPr>
        <w:t>)</w:t>
      </w:r>
      <w:r w:rsidR="005B2087" w:rsidRPr="0081456C">
        <w:rPr>
          <w:rFonts w:ascii="Times New Roman" w:hAnsi="Times New Roman" w:cs="Times New Roman"/>
          <w:sz w:val="24"/>
          <w:szCs w:val="24"/>
          <w:lang w:val="pl-PL"/>
        </w:rPr>
        <w:t>,</w:t>
      </w:r>
    </w:p>
    <w:p w14:paraId="2ABF51DA" w14:textId="0CE340C6" w:rsidR="000D32E0" w:rsidRPr="0081456C"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sz w:val="24"/>
          <w:szCs w:val="24"/>
          <w:lang w:val="pl-PL"/>
        </w:rPr>
      </w:pPr>
      <w:r w:rsidRPr="0081456C">
        <w:rPr>
          <w:rFonts w:ascii="Times New Roman" w:eastAsia="Garamond" w:hAnsi="Times New Roman" w:cs="Times New Roman"/>
          <w:spacing w:val="-1"/>
          <w:sz w:val="24"/>
          <w:szCs w:val="24"/>
          <w:lang w:val="pl-PL"/>
        </w:rPr>
        <w:t>Informacja</w:t>
      </w:r>
      <w:r w:rsidR="00467274">
        <w:rPr>
          <w:rFonts w:ascii="Times New Roman" w:eastAsia="Garamond" w:hAnsi="Times New Roman" w:cs="Times New Roman"/>
          <w:spacing w:val="-1"/>
          <w:sz w:val="24"/>
          <w:szCs w:val="24"/>
          <w:lang w:val="pl-PL"/>
        </w:rPr>
        <w:t xml:space="preserve"> o statusie uczestnika </w:t>
      </w:r>
      <w:r w:rsidRPr="0081456C">
        <w:rPr>
          <w:rFonts w:ascii="Times New Roman" w:eastAsia="Garamond" w:hAnsi="Times New Roman" w:cs="Times New Roman"/>
          <w:spacing w:val="-1"/>
          <w:sz w:val="24"/>
          <w:szCs w:val="24"/>
          <w:lang w:val="pl-PL"/>
        </w:rPr>
        <w:t xml:space="preserve"> po 4 tygodniach i 3 miesiącach (załącznik 5)</w:t>
      </w:r>
    </w:p>
    <w:p w14:paraId="7E94C3F0" w14:textId="6C871F2B" w:rsidR="005B2087" w:rsidRPr="0081456C" w:rsidRDefault="006E418C"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informacja </w:t>
      </w:r>
      <w:r w:rsidR="00C60D48" w:rsidRPr="0081456C">
        <w:rPr>
          <w:rFonts w:ascii="Times New Roman" w:hAnsi="Times New Roman" w:cs="Times New Roman"/>
          <w:sz w:val="24"/>
          <w:szCs w:val="24"/>
          <w:lang w:val="pl-PL"/>
        </w:rPr>
        <w:t xml:space="preserve">absolwenta po 6 miesiącach od uzyskania statusu absolwenta (załącznik </w:t>
      </w:r>
      <w:r w:rsidR="000D32E0" w:rsidRPr="0081456C">
        <w:rPr>
          <w:rFonts w:ascii="Times New Roman" w:hAnsi="Times New Roman" w:cs="Times New Roman"/>
          <w:sz w:val="24"/>
          <w:szCs w:val="24"/>
          <w:lang w:val="pl-PL"/>
        </w:rPr>
        <w:t>6</w:t>
      </w:r>
      <w:r w:rsidR="00C60D48" w:rsidRPr="0081456C">
        <w:rPr>
          <w:rFonts w:ascii="Times New Roman" w:hAnsi="Times New Roman" w:cs="Times New Roman"/>
          <w:sz w:val="24"/>
          <w:szCs w:val="24"/>
          <w:lang w:val="pl-PL"/>
        </w:rPr>
        <w:t>).</w:t>
      </w:r>
    </w:p>
    <w:sectPr w:rsidR="005B2087" w:rsidRPr="0081456C" w:rsidSect="00A242CC">
      <w:headerReference w:type="even" r:id="rId8"/>
      <w:headerReference w:type="default" r:id="rId9"/>
      <w:footerReference w:type="even" r:id="rId10"/>
      <w:footerReference w:type="default" r:id="rId11"/>
      <w:headerReference w:type="first" r:id="rId12"/>
      <w:footerReference w:type="first" r:id="rId13"/>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3C117" w14:textId="77777777" w:rsidR="00F41265" w:rsidRDefault="00F41265">
      <w:pPr>
        <w:spacing w:after="0" w:line="240" w:lineRule="auto"/>
      </w:pPr>
      <w:r>
        <w:separator/>
      </w:r>
    </w:p>
  </w:endnote>
  <w:endnote w:type="continuationSeparator" w:id="0">
    <w:p w14:paraId="35A5B4FC" w14:textId="77777777" w:rsidR="00F41265" w:rsidRDefault="00F4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86CA" w14:textId="77777777" w:rsidR="003E453A" w:rsidRDefault="003E45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7A7169B4"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3E453A">
      <w:rPr>
        <w:rFonts w:ascii="Times New Roman" w:hAnsi="Times New Roman" w:cs="Times New Roman"/>
        <w:noProof/>
        <w:lang w:val="pl-PL"/>
      </w:rPr>
      <w:t>4</w:t>
    </w:r>
    <w:r w:rsidRPr="00DD3D1F">
      <w:rPr>
        <w:rFonts w:ascii="Times New Roman" w:hAnsi="Times New Roman" w:cs="Times New Roman"/>
      </w:rPr>
      <w:fldChar w:fldCharType="end"/>
    </w:r>
  </w:p>
  <w:p w14:paraId="33A593B4" w14:textId="75B86498" w:rsidR="00A242CC" w:rsidRDefault="00A242CC" w:rsidP="00DD3D1F">
    <w:pPr>
      <w:jc w:val="center"/>
      <w:rPr>
        <w:rFonts w:ascii="SGGW Sans UltraLight" w:hAnsi="SGGW Sans UltraLight"/>
        <w:sz w:val="16"/>
        <w:szCs w:val="16"/>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p w14:paraId="3DF8204B" w14:textId="1630031D" w:rsidR="003E453A" w:rsidRPr="00977449" w:rsidRDefault="003E453A" w:rsidP="003E453A">
    <w:pPr>
      <w:jc w:val="right"/>
      <w:rPr>
        <w:rFonts w:ascii="Times New Roman" w:hAnsi="Times New Roman" w:cs="Times New Roman"/>
        <w:lang w:val="pl-PL"/>
      </w:rPr>
    </w:pPr>
    <w:r>
      <w:rPr>
        <w:rFonts w:ascii="SGGW Sans UltraLight" w:hAnsi="SGGW Sans UltraLight"/>
        <w:sz w:val="16"/>
        <w:szCs w:val="16"/>
        <w:lang w:val="pl-PL"/>
      </w:rPr>
      <w:t>ver.VII.2</w:t>
    </w:r>
    <w:bookmarkStart w:id="0" w:name="_GoBack"/>
    <w:bookmarkEnd w:id="0"/>
    <w:r>
      <w:rPr>
        <w:rFonts w:ascii="SGGW Sans UltraLight" w:hAnsi="SGGW Sans UltraLight"/>
        <w:sz w:val="16"/>
        <w:szCs w:val="16"/>
        <w:lang w:val="pl-PL"/>
      </w:rPr>
      <w:t>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0201" w14:textId="77777777" w:rsidR="00F41265" w:rsidRDefault="00F41265">
      <w:pPr>
        <w:spacing w:after="0" w:line="240" w:lineRule="auto"/>
      </w:pPr>
      <w:r>
        <w:separator/>
      </w:r>
    </w:p>
  </w:footnote>
  <w:footnote w:type="continuationSeparator" w:id="0">
    <w:p w14:paraId="0625D895" w14:textId="77777777" w:rsidR="00F41265" w:rsidRDefault="00F4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E225" w14:textId="77777777" w:rsidR="003E453A" w:rsidRDefault="003E4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B5C06"/>
    <w:rsid w:val="000D32E0"/>
    <w:rsid w:val="0018143A"/>
    <w:rsid w:val="00192AA0"/>
    <w:rsid w:val="001A48B2"/>
    <w:rsid w:val="001B4AB8"/>
    <w:rsid w:val="001C1FBD"/>
    <w:rsid w:val="001C45D1"/>
    <w:rsid w:val="0024473C"/>
    <w:rsid w:val="00250501"/>
    <w:rsid w:val="002A3305"/>
    <w:rsid w:val="002C221C"/>
    <w:rsid w:val="002C4020"/>
    <w:rsid w:val="002C5DDF"/>
    <w:rsid w:val="002E1017"/>
    <w:rsid w:val="002F2D3E"/>
    <w:rsid w:val="00300BAC"/>
    <w:rsid w:val="00305108"/>
    <w:rsid w:val="003341A0"/>
    <w:rsid w:val="003A7F63"/>
    <w:rsid w:val="003E453A"/>
    <w:rsid w:val="00402815"/>
    <w:rsid w:val="00411DC0"/>
    <w:rsid w:val="00456363"/>
    <w:rsid w:val="00467274"/>
    <w:rsid w:val="004C2CD5"/>
    <w:rsid w:val="004D4BD1"/>
    <w:rsid w:val="00501968"/>
    <w:rsid w:val="005054F1"/>
    <w:rsid w:val="005256CF"/>
    <w:rsid w:val="00533BD4"/>
    <w:rsid w:val="00564B7E"/>
    <w:rsid w:val="005B2087"/>
    <w:rsid w:val="005B39B8"/>
    <w:rsid w:val="005D287C"/>
    <w:rsid w:val="00643FAC"/>
    <w:rsid w:val="00686A6F"/>
    <w:rsid w:val="006B4713"/>
    <w:rsid w:val="006C26B1"/>
    <w:rsid w:val="006E418C"/>
    <w:rsid w:val="0075091A"/>
    <w:rsid w:val="00781199"/>
    <w:rsid w:val="007863C6"/>
    <w:rsid w:val="00794F70"/>
    <w:rsid w:val="00796C7B"/>
    <w:rsid w:val="007A6DC6"/>
    <w:rsid w:val="007D5A98"/>
    <w:rsid w:val="007E061A"/>
    <w:rsid w:val="007E46C2"/>
    <w:rsid w:val="0081456C"/>
    <w:rsid w:val="00816EE3"/>
    <w:rsid w:val="00824327"/>
    <w:rsid w:val="008269F7"/>
    <w:rsid w:val="0083509A"/>
    <w:rsid w:val="00872EF7"/>
    <w:rsid w:val="0089693C"/>
    <w:rsid w:val="00896A36"/>
    <w:rsid w:val="008D3779"/>
    <w:rsid w:val="008F3BB4"/>
    <w:rsid w:val="008F6D09"/>
    <w:rsid w:val="00901386"/>
    <w:rsid w:val="009459A1"/>
    <w:rsid w:val="00963C17"/>
    <w:rsid w:val="00970542"/>
    <w:rsid w:val="0097656D"/>
    <w:rsid w:val="00977449"/>
    <w:rsid w:val="00993C02"/>
    <w:rsid w:val="009B04A5"/>
    <w:rsid w:val="009B7294"/>
    <w:rsid w:val="00A02543"/>
    <w:rsid w:val="00A03FB2"/>
    <w:rsid w:val="00A242CC"/>
    <w:rsid w:val="00A34ABF"/>
    <w:rsid w:val="00A672D4"/>
    <w:rsid w:val="00B00598"/>
    <w:rsid w:val="00B1389D"/>
    <w:rsid w:val="00B5218E"/>
    <w:rsid w:val="00B70BC8"/>
    <w:rsid w:val="00B71138"/>
    <w:rsid w:val="00BA2287"/>
    <w:rsid w:val="00BB2635"/>
    <w:rsid w:val="00BE49A5"/>
    <w:rsid w:val="00BF15CF"/>
    <w:rsid w:val="00C034EC"/>
    <w:rsid w:val="00C1446A"/>
    <w:rsid w:val="00C15EA4"/>
    <w:rsid w:val="00C500B4"/>
    <w:rsid w:val="00C60D48"/>
    <w:rsid w:val="00C66CFB"/>
    <w:rsid w:val="00C67611"/>
    <w:rsid w:val="00C80433"/>
    <w:rsid w:val="00C967FD"/>
    <w:rsid w:val="00CA6533"/>
    <w:rsid w:val="00CD1D25"/>
    <w:rsid w:val="00CE3B92"/>
    <w:rsid w:val="00CF15E8"/>
    <w:rsid w:val="00D05386"/>
    <w:rsid w:val="00D168B3"/>
    <w:rsid w:val="00D30743"/>
    <w:rsid w:val="00D3511C"/>
    <w:rsid w:val="00D714E0"/>
    <w:rsid w:val="00D7351C"/>
    <w:rsid w:val="00D853D7"/>
    <w:rsid w:val="00DA2984"/>
    <w:rsid w:val="00DB65DC"/>
    <w:rsid w:val="00DC0ED3"/>
    <w:rsid w:val="00DD3D1F"/>
    <w:rsid w:val="00DD7DA6"/>
    <w:rsid w:val="00DE2712"/>
    <w:rsid w:val="00DF760C"/>
    <w:rsid w:val="00E14810"/>
    <w:rsid w:val="00E2026E"/>
    <w:rsid w:val="00E420BF"/>
    <w:rsid w:val="00E7705E"/>
    <w:rsid w:val="00EA7F69"/>
    <w:rsid w:val="00EB782B"/>
    <w:rsid w:val="00EC5AF0"/>
    <w:rsid w:val="00F01C37"/>
    <w:rsid w:val="00F2026F"/>
    <w:rsid w:val="00F41265"/>
    <w:rsid w:val="00F72547"/>
    <w:rsid w:val="00F86F5B"/>
    <w:rsid w:val="00F908E4"/>
    <w:rsid w:val="00FB04A7"/>
    <w:rsid w:val="00FC2F90"/>
    <w:rsid w:val="00FE184E"/>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 w:type="paragraph" w:styleId="Akapitzlist">
    <w:name w:val="List Paragraph"/>
    <w:basedOn w:val="Normalny"/>
    <w:uiPriority w:val="34"/>
    <w:qFormat/>
    <w:rsid w:val="00F7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1097</Words>
  <Characters>6583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7665</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8</cp:revision>
  <cp:lastPrinted>2018-08-10T09:17:00Z</cp:lastPrinted>
  <dcterms:created xsi:type="dcterms:W3CDTF">2022-07-06T10:19:00Z</dcterms:created>
  <dcterms:modified xsi:type="dcterms:W3CDTF">2022-07-12T07:46:00Z</dcterms:modified>
</cp:coreProperties>
</file>